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456" w:tblpY="2471"/>
        <w:tblOverlap w:val="never"/>
        <w:tblW w:w="14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981"/>
        <w:gridCol w:w="2549"/>
        <w:gridCol w:w="2015"/>
        <w:gridCol w:w="1033"/>
        <w:gridCol w:w="896"/>
        <w:gridCol w:w="170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主管单位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拟聘单位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拟聘岗位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出生年月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8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共青团深圳市委员会</w:t>
            </w:r>
          </w:p>
        </w:tc>
        <w:tc>
          <w:tcPr>
            <w:tcW w:w="25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深圳市青少年活动中心</w:t>
            </w:r>
          </w:p>
        </w:tc>
        <w:tc>
          <w:tcPr>
            <w:tcW w:w="2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融媒外宣专业技术岗位十二级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王莹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1997年4月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szCs w:val="24"/>
                <w:lang w:val="en-US" w:eastAsia="zh-CN"/>
              </w:rPr>
              <w:t>梅州市市区余泥渣土管理中心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深圳市市属事业单位2021年11月公开招聘工作人员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共青团深圳市委员会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招聘岗位拟聘人选公示名册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深圳市青少年活动中心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NDE5ODE5ZWMzYTc2NDlkNjIyYWVhYTlhYjU4NWIifQ=="/>
  </w:docVars>
  <w:rsids>
    <w:rsidRoot w:val="FFFFF95E"/>
    <w:rsid w:val="0C102529"/>
    <w:rsid w:val="16AF7C41"/>
    <w:rsid w:val="79C9048D"/>
    <w:rsid w:val="FFFFF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143</Characters>
  <Lines>0</Lines>
  <Paragraphs>0</Paragraphs>
  <TotalTime>0</TotalTime>
  <ScaleCrop>false</ScaleCrop>
  <LinksUpToDate>false</LinksUpToDate>
  <CharactersWithSpaces>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2022-07-12T18:21:00Z</dcterms:created>
  <dc:creator>rsj</dc:creator>
  <cp:lastModifiedBy>CARRASCO</cp:lastModifiedBy>
  <dcterms:modified xsi:type="dcterms:W3CDTF">2022-09-07T02:38:45Z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87F3B8833ACA4EE79EB0CBDE55B16EE9</vt:lpwstr>
  </property>
</Properties>
</file>